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pPr>
      <w:r>
        <w:rPr>
          <w:rFonts w:ascii="Arial" w:cs="Arial" w:eastAsia="Arial" w:hAnsi="Arial"/>
          <w:b/>
          <w:bCs/>
          <w:caps/>
          <w:color w:val="2563A8"/>
          <w:sz w:val="18"/>
          <w:szCs w:val="18"/>
        </w:rPr>
        <w:t xml:space="preserve">ARTICLE 1.1  ·  ISO 27001 OVERVIEW</w:t>
      </w:r>
    </w:p>
    <w:p>
      <w:pPr>
        <w:pStyle w:val="Heading1"/>
        <w:spacing w:after="120"/>
      </w:pPr>
      <w:r>
        <w:rPr>
          <w:rFonts w:ascii="Arial" w:cs="Arial" w:eastAsia="Arial" w:hAnsi="Arial"/>
          <w:b/>
          <w:bCs/>
          <w:color w:val="1B3A5C"/>
          <w:sz w:val="44"/>
          <w:szCs w:val="44"/>
        </w:rPr>
        <w:t xml:space="preserve">What is ISO 27001?</w:t>
      </w:r>
    </w:p>
    <w:p>
      <w:pPr>
        <w:spacing w:after="60"/>
      </w:pPr>
      <w:r>
        <w:rPr>
          <w:rFonts w:ascii="Georgia" w:cs="Georgia" w:eastAsia="Georgia" w:hAnsi="Georgia"/>
          <w:i/>
          <w:iCs/>
          <w:color w:val="4B5563"/>
          <w:sz w:val="24"/>
          <w:szCs w:val="24"/>
        </w:rPr>
        <w:t xml:space="preserve">An introduction to the international standard for information security management, its scope, and what it means to be certified.</w:t>
      </w:r>
    </w:p>
    <w:p>
      <w:pPr>
        <w:spacing w:after="40"/>
      </w:pPr>
      <w:r>
        <w:rPr>
          <w:rFonts w:ascii="Arial" w:cs="Arial" w:eastAsia="Arial" w:hAnsi="Arial"/>
          <w:color w:val="9CA3AF"/>
          <w:sz w:val="18"/>
          <w:szCs w:val="18"/>
        </w:rPr>
        <w:t xml:space="preserve">Bitlion GRC Documentation  ·  Updated March 2026  ·  Reading time: ~12 minutes</w:t>
      </w:r>
    </w:p>
    <w:p>
      <w:pPr>
        <w:pBdr>
          <w:bottom w:val="single" w:color="D1D5DB" w:sz="2" w:space="1"/>
        </w:pBdr>
        <w:spacing w:after="200" w:before="200"/>
      </w:pPr>
      <w:r>
        <w:t xml:space="preserve"/>
      </w:r>
    </w:p>
    <w:p>
      <w:pPr>
        <w:spacing w:after="100"/>
      </w:pPr>
      <w:r>
        <w:t xml:space="preserve"/>
      </w:r>
    </w:p>
    <w:p>
      <w:pPr>
        <w:spacing w:after="160" w:line="320"/>
        <w:jc w:val="both"/>
      </w:pPr>
      <w:r>
        <w:rPr>
          <w:rFonts w:ascii="Georgia" w:cs="Georgia" w:eastAsia="Georgia" w:hAnsi="Georgia"/>
          <w:b w:val="false"/>
          <w:bCs w:val="false"/>
          <w:i w:val="false"/>
          <w:iCs w:val="false"/>
          <w:color w:val="111827"/>
          <w:sz w:val="22"/>
          <w:szCs w:val="22"/>
        </w:rPr>
        <w:t xml:space="preserve">Every organization, regardless of size or sector, depends on information to operate. Customer records, financial data, intellectual property, operational systems — all of it needs to be protected. But protection without structure is just hope. That is precisely the problem ISO 27001 was designed to solve.</w:t>
      </w:r>
    </w:p>
    <w:p>
      <w:pPr>
        <w:spacing w:after="80"/>
      </w:pPr>
      <w:r>
        <w:t xml:space="preserve"/>
      </w:r>
    </w:p>
    <w:p>
      <w:pPr>
        <w:spacing w:after="160" w:line="320"/>
        <w:jc w:val="both"/>
      </w:pPr>
      <w:r>
        <w:rPr>
          <w:rFonts w:ascii="Georgia" w:cs="Georgia" w:eastAsia="Georgia" w:hAnsi="Georgia"/>
          <w:b w:val="false"/>
          <w:bCs w:val="false"/>
          <w:i w:val="false"/>
          <w:iCs w:val="false"/>
          <w:color w:val="111827"/>
          <w:sz w:val="22"/>
          <w:szCs w:val="22"/>
        </w:rPr>
        <w:t xml:space="preserve">ISO 27001 is the internationally recognized standard for establishing, implementing, maintaining, and continually improving an Information Security Management System — more commonly referred to as an ISMS. It was developed by the International Organization for Standardization (ISO) and the International Electrotechnical Commission (IEC), and as of 2026 it remains the most widely adopted information security certification framework in the world.</w:t>
      </w:r>
    </w:p>
    <w:p>
      <w:pPr>
        <w:spacing w:after="80"/>
      </w:pPr>
      <w:r>
        <w:t xml:space="preserve"/>
      </w:r>
    </w:p>
    <w:p>
      <w:pPr>
        <w:spacing w:after="160" w:line="320"/>
        <w:jc w:val="both"/>
      </w:pPr>
      <w:r>
        <w:rPr>
          <w:rFonts w:ascii="Georgia" w:cs="Georgia" w:eastAsia="Georgia" w:hAnsi="Georgia"/>
          <w:b w:val="false"/>
          <w:bCs w:val="false"/>
          <w:i w:val="false"/>
          <w:iCs w:val="false"/>
          <w:color w:val="111827"/>
          <w:sz w:val="22"/>
          <w:szCs w:val="22"/>
        </w:rPr>
        <w:t xml:space="preserve">But before we dive into the details, it helps to understand what ISO 27001 actually is — and just as importantly, what it is not.</w:t>
      </w:r>
    </w:p>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Not a Technical Checklist — A Management System</w:t>
      </w:r>
    </w:p>
    <w:p>
      <w:pPr>
        <w:spacing w:after="80"/>
      </w:pPr>
      <w:r>
        <w:t xml:space="preserve"/>
      </w:r>
    </w:p>
    <w:p>
      <w:pPr>
        <w:spacing w:after="160" w:line="320"/>
        <w:jc w:val="both"/>
      </w:pPr>
      <w:r>
        <w:rPr>
          <w:rFonts w:ascii="Georgia" w:cs="Georgia" w:eastAsia="Georgia" w:hAnsi="Georgia"/>
          <w:b w:val="false"/>
          <w:bCs w:val="false"/>
          <w:i w:val="false"/>
          <w:iCs w:val="false"/>
          <w:color w:val="111827"/>
          <w:sz w:val="22"/>
          <w:szCs w:val="22"/>
        </w:rPr>
        <w:t xml:space="preserve">This is the most common misconception people have when they first encounter ISO 27001. They expect a list of firewall configurations or a patch management schedule. What they find instead is a framework for governing how an organization thinks about, manages, and continuously improves its approach to information security risk.</w:t>
      </w:r>
    </w:p>
    <w:p>
      <w:pPr>
        <w:spacing w:after="80"/>
      </w:pPr>
      <w:r>
        <w:t xml:space="preserve"/>
      </w:r>
    </w:p>
    <w:p>
      <w:pPr>
        <w:spacing w:after="160" w:line="320"/>
        <w:jc w:val="both"/>
      </w:pPr>
      <w:r>
        <w:rPr>
          <w:rFonts w:ascii="Georgia" w:cs="Georgia" w:eastAsia="Georgia" w:hAnsi="Georgia"/>
          <w:b w:val="false"/>
          <w:bCs w:val="false"/>
          <w:i w:val="false"/>
          <w:iCs w:val="false"/>
          <w:color w:val="111827"/>
          <w:sz w:val="22"/>
          <w:szCs w:val="22"/>
        </w:rPr>
        <w:t xml:space="preserve">ISO 27001 is structured around a management system — meaning it prescribes how leadership should drive security, how risk should be assessed and treated, how objectives should be set, and how the entire program should be monitored and improved over time. The specific technical controls live in Annex A of the standard (and its companion standard, ISO 27002), but those controls are the output of a risk-driven process, not the starting point.</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8"/>
                <w:szCs w:val="18"/>
              </w:rPr>
              <w:t xml:space="preserve">KEY IDEA</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ISO 27001 tells you to build a system for managing security risk. How you build that system — the controls you choose, the scope you define, the policies you write — is driven by your organization's unique risk landscape.</w:t>
            </w:r>
          </w:p>
        </w:tc>
      </w:tr>
    </w:tbl>
    <w:p>
      <w:pPr>
        <w:spacing w:after="200"/>
      </w:pPr>
      <w:r>
        <w:t xml:space="preserve"/>
      </w:r>
    </w:p>
    <w:p>
      <w:pPr>
        <w:spacing w:after="160" w:line="320"/>
        <w:jc w:val="both"/>
      </w:pPr>
      <w:r>
        <w:rPr>
          <w:rFonts w:ascii="Georgia" w:cs="Georgia" w:eastAsia="Georgia" w:hAnsi="Georgia"/>
          <w:b w:val="false"/>
          <w:bCs w:val="false"/>
          <w:i w:val="false"/>
          <w:iCs w:val="false"/>
          <w:color w:val="111827"/>
          <w:sz w:val="22"/>
          <w:szCs w:val="22"/>
        </w:rPr>
        <w:t xml:space="preserve">This is what makes ISO 27001 genuinely useful rather than just a compliance exercise. Two companies in the same industry can both be ISO 27001 certified and have very different sets of implemented controls — because their risks, their assets, and their threat environments differ.</w:t>
      </w:r>
    </w:p>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What Does ISO 27001 Actually Cover?</w:t>
      </w:r>
    </w:p>
    <w:p>
      <w:pPr>
        <w:spacing w:after="80"/>
      </w:pPr>
      <w:r>
        <w:t xml:space="preserve"/>
      </w:r>
    </w:p>
    <w:p>
      <w:pPr>
        <w:spacing w:after="160" w:line="320"/>
        <w:jc w:val="both"/>
      </w:pPr>
      <w:r>
        <w:rPr>
          <w:rFonts w:ascii="Georgia" w:cs="Georgia" w:eastAsia="Georgia" w:hAnsi="Georgia"/>
          <w:b w:val="false"/>
          <w:bCs w:val="false"/>
          <w:i w:val="false"/>
          <w:iCs w:val="false"/>
          <w:color w:val="111827"/>
          <w:sz w:val="22"/>
          <w:szCs w:val="22"/>
        </w:rPr>
        <w:t xml:space="preserve">The standard is organized into two main parts: the normative clauses (Clauses 4 through 10) and the informative controls reference (Annex A). Together, they address the full lifecycle of an information security management program.</w:t>
      </w:r>
    </w:p>
    <w:p>
      <w:pPr>
        <w:spacing w:after="120"/>
      </w:pPr>
      <w:r>
        <w:t xml:space="preserve"/>
      </w:r>
    </w:p>
    <w:p>
      <w:pPr>
        <w:pStyle w:val="Heading3"/>
        <w:spacing w:after="120" w:before="280"/>
      </w:pPr>
      <w:r>
        <w:rPr>
          <w:rFonts w:ascii="Arial" w:cs="Arial" w:eastAsia="Arial" w:hAnsi="Arial"/>
          <w:b/>
          <w:bCs/>
          <w:color w:val="2563A8"/>
          <w:sz w:val="24"/>
          <w:szCs w:val="24"/>
        </w:rPr>
        <w:t xml:space="preserve">The Normative Clauses (Clauses 4–10)</w:t>
      </w:r>
    </w:p>
    <w:p>
      <w:pPr>
        <w:spacing w:after="80"/>
      </w:pPr>
      <w:r>
        <w:t xml:space="preserve"/>
      </w:r>
    </w:p>
    <w:p>
      <w:pPr>
        <w:spacing w:after="160" w:line="320"/>
        <w:jc w:val="both"/>
      </w:pPr>
      <w:r>
        <w:rPr>
          <w:rFonts w:ascii="Georgia" w:cs="Georgia" w:eastAsia="Georgia" w:hAnsi="Georgia"/>
          <w:b w:val="false"/>
          <w:bCs w:val="false"/>
          <w:i w:val="false"/>
          <w:iCs w:val="false"/>
          <w:color w:val="111827"/>
          <w:sz w:val="22"/>
          <w:szCs w:val="22"/>
        </w:rPr>
        <w:t xml:space="preserve">These are the mandatory requirements your organization must fulfill to claim conformance with the standard. They cover:</w:t>
      </w:r>
    </w:p>
    <w:p>
      <w:pPr>
        <w:spacing w:after="80"/>
      </w:pPr>
      <w:r>
        <w:t xml:space="preserve"/>
      </w:r>
    </w:p>
    <w:p>
      <w:pPr>
        <w:pStyle w:val="ListParagraph"/>
        <w:numPr>
          <w:ilvl w:val="0"/>
          <w:numId w:val="2"/>
        </w:numPr>
        <w:spacing w:after="100"/>
      </w:pPr>
      <w:r>
        <w:rPr>
          <w:rFonts w:ascii="Georgia" w:cs="Georgia" w:eastAsia="Georgia" w:hAnsi="Georgia"/>
          <w:b/>
          <w:bCs/>
          <w:color w:val="111827"/>
          <w:sz w:val="22"/>
          <w:szCs w:val="22"/>
        </w:rPr>
        <w:t xml:space="preserve">Clause 4 — </w:t>
      </w:r>
      <w:r>
        <w:rPr>
          <w:rFonts w:ascii="Georgia" w:cs="Georgia" w:eastAsia="Georgia" w:hAnsi="Georgia"/>
          <w:color w:val="111827"/>
          <w:sz w:val="22"/>
          <w:szCs w:val="22"/>
        </w:rPr>
        <w:t xml:space="preserve">Understanding the organization's context — who are your stakeholders, what are the internal and external issues that affect your security posture, and what is the scope of your ISMS?</w:t>
      </w:r>
    </w:p>
    <w:p>
      <w:pPr>
        <w:pStyle w:val="ListParagraph"/>
        <w:numPr>
          <w:ilvl w:val="0"/>
          <w:numId w:val="2"/>
        </w:numPr>
        <w:spacing w:after="100"/>
      </w:pPr>
      <w:r>
        <w:rPr>
          <w:rFonts w:ascii="Georgia" w:cs="Georgia" w:eastAsia="Georgia" w:hAnsi="Georgia"/>
          <w:b/>
          <w:bCs/>
          <w:color w:val="111827"/>
          <w:sz w:val="22"/>
          <w:szCs w:val="22"/>
        </w:rPr>
        <w:t xml:space="preserve">Clause 5 — </w:t>
      </w:r>
      <w:r>
        <w:rPr>
          <w:rFonts w:ascii="Georgia" w:cs="Georgia" w:eastAsia="Georgia" w:hAnsi="Georgia"/>
          <w:color w:val="111827"/>
          <w:sz w:val="22"/>
          <w:szCs w:val="22"/>
        </w:rPr>
        <w:t xml:space="preserve">Leadership commitment — how does top management demonstrate ownership of information security, set policy, and assign accountability?</w:t>
      </w:r>
    </w:p>
    <w:p>
      <w:pPr>
        <w:pStyle w:val="ListParagraph"/>
        <w:numPr>
          <w:ilvl w:val="0"/>
          <w:numId w:val="2"/>
        </w:numPr>
        <w:spacing w:after="100"/>
      </w:pPr>
      <w:r>
        <w:rPr>
          <w:rFonts w:ascii="Georgia" w:cs="Georgia" w:eastAsia="Georgia" w:hAnsi="Georgia"/>
          <w:b/>
          <w:bCs/>
          <w:color w:val="111827"/>
          <w:sz w:val="22"/>
          <w:szCs w:val="22"/>
        </w:rPr>
        <w:t xml:space="preserve">Clause 6 — </w:t>
      </w:r>
      <w:r>
        <w:rPr>
          <w:rFonts w:ascii="Georgia" w:cs="Georgia" w:eastAsia="Georgia" w:hAnsi="Georgia"/>
          <w:color w:val="111827"/>
          <w:sz w:val="22"/>
          <w:szCs w:val="22"/>
        </w:rPr>
        <w:t xml:space="preserve">Risk-based planning — how do you identify and assess information security risks, and what is your plan for treating them?</w:t>
      </w:r>
    </w:p>
    <w:p>
      <w:pPr>
        <w:pStyle w:val="ListParagraph"/>
        <w:numPr>
          <w:ilvl w:val="0"/>
          <w:numId w:val="2"/>
        </w:numPr>
        <w:spacing w:after="100"/>
      </w:pPr>
      <w:r>
        <w:rPr>
          <w:rFonts w:ascii="Georgia" w:cs="Georgia" w:eastAsia="Georgia" w:hAnsi="Georgia"/>
          <w:b/>
          <w:bCs/>
          <w:color w:val="111827"/>
          <w:sz w:val="22"/>
          <w:szCs w:val="22"/>
        </w:rPr>
        <w:t xml:space="preserve">Clause 7 — </w:t>
      </w:r>
      <w:r>
        <w:rPr>
          <w:rFonts w:ascii="Georgia" w:cs="Georgia" w:eastAsia="Georgia" w:hAnsi="Georgia"/>
          <w:color w:val="111827"/>
          <w:sz w:val="22"/>
          <w:szCs w:val="22"/>
        </w:rPr>
        <w:t xml:space="preserve">Support and resources — do you have the people, tools, awareness programs, and documentation needed to operate the ISMS?</w:t>
      </w:r>
    </w:p>
    <w:p>
      <w:pPr>
        <w:pStyle w:val="ListParagraph"/>
        <w:numPr>
          <w:ilvl w:val="0"/>
          <w:numId w:val="2"/>
        </w:numPr>
        <w:spacing w:after="100"/>
      </w:pPr>
      <w:r>
        <w:rPr>
          <w:rFonts w:ascii="Georgia" w:cs="Georgia" w:eastAsia="Georgia" w:hAnsi="Georgia"/>
          <w:b/>
          <w:bCs/>
          <w:color w:val="111827"/>
          <w:sz w:val="22"/>
          <w:szCs w:val="22"/>
        </w:rPr>
        <w:t xml:space="preserve">Clause 8 — </w:t>
      </w:r>
      <w:r>
        <w:rPr>
          <w:rFonts w:ascii="Georgia" w:cs="Georgia" w:eastAsia="Georgia" w:hAnsi="Georgia"/>
          <w:color w:val="111827"/>
          <w:sz w:val="22"/>
          <w:szCs w:val="22"/>
        </w:rPr>
        <w:t xml:space="preserve">Operational controls — are the risk treatment plans actually being executed?</w:t>
      </w:r>
    </w:p>
    <w:p>
      <w:pPr>
        <w:pStyle w:val="ListParagraph"/>
        <w:numPr>
          <w:ilvl w:val="0"/>
          <w:numId w:val="2"/>
        </w:numPr>
        <w:spacing w:after="100"/>
      </w:pPr>
      <w:r>
        <w:rPr>
          <w:rFonts w:ascii="Georgia" w:cs="Georgia" w:eastAsia="Georgia" w:hAnsi="Georgia"/>
          <w:b/>
          <w:bCs/>
          <w:color w:val="111827"/>
          <w:sz w:val="22"/>
          <w:szCs w:val="22"/>
        </w:rPr>
        <w:t xml:space="preserve">Clause 9 — </w:t>
      </w:r>
      <w:r>
        <w:rPr>
          <w:rFonts w:ascii="Georgia" w:cs="Georgia" w:eastAsia="Georgia" w:hAnsi="Georgia"/>
          <w:color w:val="111827"/>
          <w:sz w:val="22"/>
          <w:szCs w:val="22"/>
        </w:rPr>
        <w:t xml:space="preserve">Performance evaluation — are you measuring whether the ISMS is working through audits, monitoring, and management reviews?</w:t>
      </w:r>
    </w:p>
    <w:p>
      <w:pPr>
        <w:pStyle w:val="ListParagraph"/>
        <w:numPr>
          <w:ilvl w:val="0"/>
          <w:numId w:val="2"/>
        </w:numPr>
        <w:spacing w:after="100"/>
      </w:pPr>
      <w:r>
        <w:rPr>
          <w:rFonts w:ascii="Georgia" w:cs="Georgia" w:eastAsia="Georgia" w:hAnsi="Georgia"/>
          <w:b/>
          <w:bCs/>
          <w:color w:val="111827"/>
          <w:sz w:val="22"/>
          <w:szCs w:val="22"/>
        </w:rPr>
        <w:t xml:space="preserve">Clause 10 — </w:t>
      </w:r>
      <w:r>
        <w:rPr>
          <w:rFonts w:ascii="Georgia" w:cs="Georgia" w:eastAsia="Georgia" w:hAnsi="Georgia"/>
          <w:color w:val="111827"/>
          <w:sz w:val="22"/>
          <w:szCs w:val="22"/>
        </w:rPr>
        <w:t xml:space="preserve">Continual improvement — when things go wrong or gaps are found, how do you correct them systematically?</w:t>
      </w:r>
    </w:p>
    <w:p>
      <w:pPr>
        <w:spacing w:after="120"/>
      </w:pPr>
      <w:r>
        <w:t xml:space="preserve"/>
      </w:r>
    </w:p>
    <w:p>
      <w:pPr>
        <w:pStyle w:val="Heading3"/>
        <w:spacing w:after="120" w:before="280"/>
      </w:pPr>
      <w:r>
        <w:rPr>
          <w:rFonts w:ascii="Arial" w:cs="Arial" w:eastAsia="Arial" w:hAnsi="Arial"/>
          <w:b/>
          <w:bCs/>
          <w:color w:val="2563A8"/>
          <w:sz w:val="24"/>
          <w:szCs w:val="24"/>
        </w:rPr>
        <w:t xml:space="preserve">Annex A — The Controls Reference</w:t>
      </w:r>
    </w:p>
    <w:p>
      <w:pPr>
        <w:spacing w:after="80"/>
      </w:pPr>
      <w:r>
        <w:t xml:space="preserve"/>
      </w:r>
    </w:p>
    <w:p>
      <w:pPr>
        <w:spacing w:after="160" w:line="320"/>
        <w:jc w:val="both"/>
      </w:pPr>
      <w:r>
        <w:rPr>
          <w:rFonts w:ascii="Georgia" w:cs="Georgia" w:eastAsia="Georgia" w:hAnsi="Georgia"/>
          <w:b w:val="false"/>
          <w:bCs w:val="false"/>
          <w:i w:val="false"/>
          <w:iCs w:val="false"/>
          <w:color w:val="111827"/>
          <w:sz w:val="22"/>
          <w:szCs w:val="22"/>
        </w:rPr>
        <w:t xml:space="preserve">Annex A in the 2022 version of ISO 27001 contains 93 controls organized across four domains: Organizational, People, Physical, and Technological. These controls are not all mandatory — your organization selects the controls that are applicable based on the results of your risk assessment, and documents which controls you have excluded (and why) in a document called the Statement of Applicability.</w:t>
      </w:r>
    </w:p>
    <w:p>
      <w:pPr>
        <w:spacing w:after="80"/>
      </w:pPr>
      <w:r>
        <w:t xml:space="preserve"/>
      </w:r>
    </w:p>
    <w:p>
      <w:pPr>
        <w:spacing w:after="160" w:line="320"/>
        <w:jc w:val="both"/>
      </w:pPr>
      <w:r>
        <w:rPr>
          <w:rFonts w:ascii="Georgia" w:cs="Georgia" w:eastAsia="Georgia" w:hAnsi="Georgia"/>
          <w:b w:val="false"/>
          <w:bCs w:val="false"/>
          <w:i w:val="false"/>
          <w:iCs w:val="false"/>
          <w:color w:val="111827"/>
          <w:sz w:val="22"/>
          <w:szCs w:val="22"/>
        </w:rPr>
        <w:t xml:space="preserve">This means ISO 27001 is inherently scalable. A 15-person fintech startup and a 5,000-person multinational bank can both legitimately certify — they will simply implement different controls at different levels of maturity, appropriate to their risk profiles.</w:t>
      </w:r>
    </w:p>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The CIA Triad: ISO 27001's Foundational Model</w:t>
      </w:r>
    </w:p>
    <w:p>
      <w:pPr>
        <w:spacing w:after="80"/>
      </w:pPr>
      <w:r>
        <w:t xml:space="preserve"/>
      </w:r>
    </w:p>
    <w:p>
      <w:pPr>
        <w:spacing w:after="160" w:line="320"/>
        <w:jc w:val="both"/>
      </w:pPr>
      <w:r>
        <w:rPr>
          <w:rFonts w:ascii="Georgia" w:cs="Georgia" w:eastAsia="Georgia" w:hAnsi="Georgia"/>
          <w:b w:val="false"/>
          <w:bCs w:val="false"/>
          <w:i w:val="false"/>
          <w:iCs w:val="false"/>
          <w:color w:val="111827"/>
          <w:sz w:val="22"/>
          <w:szCs w:val="22"/>
        </w:rPr>
        <w:t xml:space="preserve">All of ISO 27001 — every clause, every control, every risk assessment — is ultimately in service of three core information security properties. You will see these referred to constantly throughout the standard and in any serious security conversation:</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c>
          <w:tcPr>
            <w:tcW w:type="dxa" w:w="3120"/>
            <w:tcBorders>
              <w:top w:val="single" w:color="DBEAFE" w:sz="1"/>
              <w:left w:val="single" w:color="DBEAFE" w:sz="1"/>
              <w:bottom w:val="single" w:color="DBEAFE" w:sz="1"/>
              <w:right w:val="single" w:color="DBEAFE" w:sz="1"/>
            </w:tcBorders>
            <w:shd w:fill="1B3A5C" w:val="clear"/>
            <w:tcMar>
              <w:top w:type="dxa" w:w="100"/>
              <w:left w:type="dxa" w:w="140"/>
              <w:bottom w:type="dxa" w:w="100"/>
              <w:right w:type="dxa" w:w="140"/>
            </w:tcMar>
          </w:tcPr>
          <w:p>
            <w:r>
              <w:rPr>
                <w:rFonts w:ascii="Arial" w:cs="Arial" w:eastAsia="Arial" w:hAnsi="Arial"/>
                <w:b/>
                <w:bCs/>
                <w:color w:val="FFFFFF"/>
                <w:sz w:val="21"/>
                <w:szCs w:val="21"/>
              </w:rPr>
              <w:t xml:space="preserve">Confidentiality</w:t>
            </w:r>
          </w:p>
        </w:tc>
        <w:tc>
          <w:tcPr>
            <w:tcW w:type="dxa" w:w="3120"/>
            <w:tcBorders>
              <w:top w:val="single" w:color="DBEAFE" w:sz="1"/>
              <w:left w:val="single" w:color="DBEAFE" w:sz="1"/>
              <w:bottom w:val="single" w:color="DBEAFE" w:sz="1"/>
              <w:right w:val="single" w:color="DBEAFE" w:sz="1"/>
            </w:tcBorders>
            <w:shd w:fill="065F46" w:val="clear"/>
            <w:tcMar>
              <w:top w:type="dxa" w:w="100"/>
              <w:left w:type="dxa" w:w="140"/>
              <w:bottom w:type="dxa" w:w="100"/>
              <w:right w:type="dxa" w:w="140"/>
            </w:tcMar>
          </w:tcPr>
          <w:p>
            <w:r>
              <w:rPr>
                <w:rFonts w:ascii="Arial" w:cs="Arial" w:eastAsia="Arial" w:hAnsi="Arial"/>
                <w:b/>
                <w:bCs/>
                <w:color w:val="FFFFFF"/>
                <w:sz w:val="21"/>
                <w:szCs w:val="21"/>
              </w:rPr>
              <w:t xml:space="preserve">Integrity</w:t>
            </w:r>
          </w:p>
        </w:tc>
        <w:tc>
          <w:tcPr>
            <w:tcW w:type="dxa" w:w="3120"/>
            <w:tcBorders>
              <w:top w:val="single" w:color="DBEAFE" w:sz="1"/>
              <w:left w:val="single" w:color="DBEAFE" w:sz="1"/>
              <w:bottom w:val="single" w:color="DBEAFE" w:sz="1"/>
              <w:right w:val="single" w:color="DBEAFE" w:sz="1"/>
            </w:tcBorders>
            <w:shd w:fill="7C3AED" w:val="clear"/>
            <w:tcMar>
              <w:top w:type="dxa" w:w="100"/>
              <w:left w:type="dxa" w:w="140"/>
              <w:bottom w:type="dxa" w:w="100"/>
              <w:right w:type="dxa" w:w="140"/>
            </w:tcMar>
          </w:tcPr>
          <w:p>
            <w:r>
              <w:rPr>
                <w:rFonts w:ascii="Arial" w:cs="Arial" w:eastAsia="Arial" w:hAnsi="Arial"/>
                <w:b/>
                <w:bCs/>
                <w:color w:val="FFFFFF"/>
                <w:sz w:val="21"/>
                <w:szCs w:val="21"/>
              </w:rPr>
              <w:t xml:space="preserve">Availability</w:t>
            </w:r>
          </w:p>
        </w:tc>
      </w:tr>
      <w:tr>
        <w:tc>
          <w:tcPr>
            <w:tcW w:type="dxa" w:w="3120"/>
            <w:tcBorders>
              <w:top w:val="single" w:color="DBEAFE" w:sz="1"/>
              <w:left w:val="single" w:color="DBEAFE" w:sz="1"/>
              <w:bottom w:val="single" w:color="DBEAFE" w:sz="1"/>
              <w:right w:val="single" w:color="DBEAFE" w:sz="1"/>
            </w:tcBorders>
            <w:shd w:fill="FFFFFF" w:val="clear"/>
            <w:tcMar>
              <w:top w:type="dxa" w:w="100"/>
              <w:left w:type="dxa" w:w="140"/>
              <w:bottom w:type="dxa" w:w="100"/>
              <w:right w:type="dxa" w:w="140"/>
            </w:tcMar>
          </w:tcPr>
          <w:p>
            <w:r>
              <w:rPr>
                <w:rFonts w:ascii="Georgia" w:cs="Georgia" w:eastAsia="Georgia" w:hAnsi="Georgia"/>
                <w:b w:val="false"/>
                <w:bCs w:val="false"/>
                <w:color w:val="111827"/>
                <w:sz w:val="20"/>
                <w:szCs w:val="20"/>
              </w:rPr>
              <w:t xml:space="preserve">Information is accessible only to those with authorized permission. Controls include encryption, access management, and classification policies.</w:t>
            </w:r>
          </w:p>
        </w:tc>
        <w:tc>
          <w:tcPr>
            <w:tcW w:type="dxa" w:w="3120"/>
            <w:tcBorders>
              <w:top w:val="single" w:color="DBEAFE" w:sz="1"/>
              <w:left w:val="single" w:color="DBEAFE" w:sz="1"/>
              <w:bottom w:val="single" w:color="DBEAFE" w:sz="1"/>
              <w:right w:val="single" w:color="DBEAFE" w:sz="1"/>
            </w:tcBorders>
            <w:shd w:fill="FFFFFF" w:val="clear"/>
            <w:tcMar>
              <w:top w:type="dxa" w:w="100"/>
              <w:left w:type="dxa" w:w="140"/>
              <w:bottom w:type="dxa" w:w="100"/>
              <w:right w:type="dxa" w:w="140"/>
            </w:tcMar>
          </w:tcPr>
          <w:p>
            <w:r>
              <w:rPr>
                <w:rFonts w:ascii="Georgia" w:cs="Georgia" w:eastAsia="Georgia" w:hAnsi="Georgia"/>
                <w:b w:val="false"/>
                <w:bCs w:val="false"/>
                <w:color w:val="111827"/>
                <w:sz w:val="20"/>
                <w:szCs w:val="20"/>
              </w:rPr>
              <w:t xml:space="preserve">Information remains accurate, complete, and unaltered except through authorized processes. Controls include checksums, audit logs, and change management.</w:t>
            </w:r>
          </w:p>
        </w:tc>
        <w:tc>
          <w:tcPr>
            <w:tcW w:type="dxa" w:w="3120"/>
            <w:tcBorders>
              <w:top w:val="single" w:color="DBEAFE" w:sz="1"/>
              <w:left w:val="single" w:color="DBEAFE" w:sz="1"/>
              <w:bottom w:val="single" w:color="DBEAFE" w:sz="1"/>
              <w:right w:val="single" w:color="DBEAFE" w:sz="1"/>
            </w:tcBorders>
            <w:shd w:fill="FFFFFF" w:val="clear"/>
            <w:tcMar>
              <w:top w:type="dxa" w:w="100"/>
              <w:left w:type="dxa" w:w="140"/>
              <w:bottom w:type="dxa" w:w="100"/>
              <w:right w:type="dxa" w:w="140"/>
            </w:tcMar>
          </w:tcPr>
          <w:p>
            <w:r>
              <w:rPr>
                <w:rFonts w:ascii="Georgia" w:cs="Georgia" w:eastAsia="Georgia" w:hAnsi="Georgia"/>
                <w:b w:val="false"/>
                <w:bCs w:val="false"/>
                <w:color w:val="111827"/>
                <w:sz w:val="20"/>
                <w:szCs w:val="20"/>
              </w:rPr>
              <w:t xml:space="preserve">Information and systems are accessible when needed by authorized users. Controls include redundancy, disaster recovery, and uptime monitoring.</w:t>
            </w:r>
          </w:p>
        </w:tc>
      </w:tr>
    </w:tbl>
    <w:p>
      <w:pPr>
        <w:spacing w:after="160"/>
      </w:pPr>
      <w:r>
        <w:t xml:space="preserve"/>
      </w:r>
    </w:p>
    <w:p>
      <w:pPr>
        <w:spacing w:after="160" w:line="320"/>
        <w:jc w:val="both"/>
      </w:pPr>
      <w:r>
        <w:rPr>
          <w:rFonts w:ascii="Georgia" w:cs="Georgia" w:eastAsia="Georgia" w:hAnsi="Georgia"/>
          <w:b w:val="false"/>
          <w:bCs w:val="false"/>
          <w:i w:val="false"/>
          <w:iCs w:val="false"/>
          <w:color w:val="111827"/>
          <w:sz w:val="22"/>
          <w:szCs w:val="22"/>
        </w:rPr>
        <w:t xml:space="preserve">When you perform a risk assessment under ISO 27001, you are fundamentally asking: what threats or vulnerabilities could compromise the confidentiality, integrity, or availability of our information assets, and what is the likelihood and impact if they materialize? Every control you implement maps back to protecting one or more of these three properties.</w:t>
      </w:r>
    </w:p>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Defining the Scope of Your ISMS</w:t>
      </w:r>
    </w:p>
    <w:p>
      <w:pPr>
        <w:spacing w:after="80"/>
      </w:pPr>
      <w:r>
        <w:t xml:space="preserve"/>
      </w:r>
    </w:p>
    <w:p>
      <w:pPr>
        <w:spacing w:after="160" w:line="320"/>
        <w:jc w:val="both"/>
      </w:pPr>
      <w:r>
        <w:rPr>
          <w:rFonts w:ascii="Georgia" w:cs="Georgia" w:eastAsia="Georgia" w:hAnsi="Georgia"/>
          <w:b w:val="false"/>
          <w:bCs w:val="false"/>
          <w:i w:val="false"/>
          <w:iCs w:val="false"/>
          <w:color w:val="111827"/>
          <w:sz w:val="22"/>
          <w:szCs w:val="22"/>
        </w:rPr>
        <w:t xml:space="preserve">One of the first and most consequential decisions in any ISO 27001 implementation is scoping. The scope defines which parts of your organization — which departments, locations, systems, services, and processes — fall within the boundary of your ISMS. Only the areas within scope are subject to the standard's requirements and covered by your eventual certification.</w:t>
      </w:r>
    </w:p>
    <w:p>
      <w:pPr>
        <w:spacing w:after="80"/>
      </w:pPr>
      <w:r>
        <w:t xml:space="preserve"/>
      </w:r>
    </w:p>
    <w:p>
      <w:pPr>
        <w:spacing w:after="160" w:line="320"/>
        <w:jc w:val="both"/>
      </w:pPr>
      <w:r>
        <w:rPr>
          <w:rFonts w:ascii="Georgia" w:cs="Georgia" w:eastAsia="Georgia" w:hAnsi="Georgia"/>
          <w:b w:val="false"/>
          <w:bCs w:val="false"/>
          <w:i w:val="false"/>
          <w:iCs w:val="false"/>
          <w:color w:val="111827"/>
          <w:sz w:val="22"/>
          <w:szCs w:val="22"/>
        </w:rPr>
        <w:t xml:space="preserve">Scope can be as narrow as a single product line or a specific service offering, or as broad as the entire organization. Most organizations starting their ISO 27001 journey choose a focused scope to make the initial certification manageable, then expand it over subsequent certification cycles.</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A7F3D0" w:sz="1"/>
              <w:left w:val="single" w:color="0E9F6E" w:sz="12"/>
              <w:bottom w:val="single" w:color="A7F3D0" w:sz="1"/>
              <w:right w:val="single" w:color="A7F3D0" w:sz="1"/>
            </w:tcBorders>
            <w:shd w:fill="ECFDF5" w:val="clear"/>
            <w:tcMar>
              <w:top w:type="dxa" w:w="140"/>
              <w:left w:type="dxa" w:w="200"/>
              <w:bottom w:type="dxa" w:w="140"/>
              <w:right w:type="dxa" w:w="160"/>
            </w:tcMar>
          </w:tcPr>
          <w:p>
            <w:r>
              <w:rPr>
                <w:rFonts w:ascii="Georgia" w:cs="Georgia" w:eastAsia="Georgia" w:hAnsi="Georgia"/>
                <w:i/>
                <w:iCs/>
                <w:color w:val="065F46"/>
                <w:sz w:val="21"/>
                <w:szCs w:val="21"/>
              </w:rPr>
              <w:t xml:space="preserve">Bitlion Insight: When helping clients define their ISMS scope, we typically recommend starting with the highest-risk surface — often the systems that handle customer personal data or financial transactions. This delivers regulatory alignment fastest while keeping the implementation timeline realistic.</w:t>
            </w:r>
          </w:p>
        </w:tc>
      </w:tr>
    </w:tbl>
    <w:p>
      <w:pPr>
        <w:spacing w:after="160"/>
      </w:pPr>
      <w:r>
        <w:t xml:space="preserve"/>
      </w:r>
    </w:p>
    <w:p>
      <w:pPr>
        <w:spacing w:after="160" w:line="320"/>
        <w:jc w:val="both"/>
      </w:pPr>
      <w:r>
        <w:rPr>
          <w:rFonts w:ascii="Georgia" w:cs="Georgia" w:eastAsia="Georgia" w:hAnsi="Georgia"/>
          <w:b w:val="false"/>
          <w:bCs w:val="false"/>
          <w:i w:val="false"/>
          <w:iCs w:val="false"/>
          <w:color w:val="111827"/>
          <w:sz w:val="22"/>
          <w:szCs w:val="22"/>
        </w:rPr>
        <w:t xml:space="preserve">The scope statement becomes a formal part of your ISMS documentation and will be reviewed by auditors during certification. A well-defined scope is specific, defensible, and directly connected to the risks your organization actually faces.</w:t>
      </w:r>
    </w:p>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ISO 27001 vs. Other Security Frameworks</w:t>
      </w:r>
    </w:p>
    <w:p>
      <w:pPr>
        <w:spacing w:after="80"/>
      </w:pPr>
      <w:r>
        <w:t xml:space="preserve"/>
      </w:r>
    </w:p>
    <w:p>
      <w:pPr>
        <w:spacing w:after="160" w:line="320"/>
        <w:jc w:val="both"/>
      </w:pPr>
      <w:r>
        <w:rPr>
          <w:rFonts w:ascii="Georgia" w:cs="Georgia" w:eastAsia="Georgia" w:hAnsi="Georgia"/>
          <w:b w:val="false"/>
          <w:bCs w:val="false"/>
          <w:i w:val="false"/>
          <w:iCs w:val="false"/>
          <w:color w:val="111827"/>
          <w:sz w:val="22"/>
          <w:szCs w:val="22"/>
        </w:rPr>
        <w:t xml:space="preserve">Organizations often ask how ISO 27001 relates to other frameworks they have encountered — SOC 2, NIST CSF, CIS Controls, and others. The short answer is that they are complementary rather than competing, but they serve different primary purposes. Here is a quick comparison:</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c>
          <w:tcPr>
            <w:tcW w:type="dxa" w:w="2340"/>
            <w:tcBorders>
              <w:top w:val="single" w:color="93C5FD" w:sz="1"/>
              <w:left w:val="single" w:color="93C5FD" w:sz="1"/>
              <w:bottom w:val="single" w:color="93C5FD" w:sz="1"/>
              <w:right w:val="single" w:color="93C5FD" w:sz="1"/>
            </w:tcBorders>
            <w:shd w:fill="1B3A5C" w:val="clear"/>
            <w:tcMar>
              <w:top w:type="dxa" w:w="80"/>
              <w:left w:type="dxa" w:w="120"/>
              <w:bottom w:type="dxa" w:w="80"/>
              <w:right w:type="dxa" w:w="120"/>
            </w:tcMar>
          </w:tcPr>
          <w:p>
            <w:r>
              <w:rPr>
                <w:rFonts w:ascii="Arial" w:cs="Arial" w:eastAsia="Arial" w:hAnsi="Arial"/>
                <w:b/>
                <w:bCs/>
                <w:color w:val="FFFFFF"/>
                <w:sz w:val="19"/>
                <w:szCs w:val="19"/>
              </w:rPr>
              <w:t xml:space="preserve">Aspect</w:t>
            </w:r>
          </w:p>
        </w:tc>
        <w:tc>
          <w:tcPr>
            <w:tcW w:type="dxa" w:w="2340"/>
            <w:tcBorders>
              <w:top w:val="single" w:color="93C5FD" w:sz="1"/>
              <w:left w:val="single" w:color="93C5FD" w:sz="1"/>
              <w:bottom w:val="single" w:color="93C5FD" w:sz="1"/>
              <w:right w:val="single" w:color="93C5FD" w:sz="1"/>
            </w:tcBorders>
            <w:shd w:fill="1B3A5C" w:val="clear"/>
            <w:tcMar>
              <w:top w:type="dxa" w:w="80"/>
              <w:left w:type="dxa" w:w="120"/>
              <w:bottom w:type="dxa" w:w="80"/>
              <w:right w:type="dxa" w:w="120"/>
            </w:tcMar>
          </w:tcPr>
          <w:p>
            <w:r>
              <w:rPr>
                <w:rFonts w:ascii="Arial" w:cs="Arial" w:eastAsia="Arial" w:hAnsi="Arial"/>
                <w:b/>
                <w:bCs/>
                <w:color w:val="FFFFFF"/>
                <w:sz w:val="19"/>
                <w:szCs w:val="19"/>
              </w:rPr>
              <w:t xml:space="preserve">ISO 27001</w:t>
            </w:r>
          </w:p>
        </w:tc>
        <w:tc>
          <w:tcPr>
            <w:tcW w:type="dxa" w:w="2340"/>
            <w:tcBorders>
              <w:top w:val="single" w:color="93C5FD" w:sz="1"/>
              <w:left w:val="single" w:color="93C5FD" w:sz="1"/>
              <w:bottom w:val="single" w:color="93C5FD" w:sz="1"/>
              <w:right w:val="single" w:color="93C5FD" w:sz="1"/>
            </w:tcBorders>
            <w:shd w:fill="1B3A5C" w:val="clear"/>
            <w:tcMar>
              <w:top w:type="dxa" w:w="80"/>
              <w:left w:type="dxa" w:w="120"/>
              <w:bottom w:type="dxa" w:w="80"/>
              <w:right w:type="dxa" w:w="120"/>
            </w:tcMar>
          </w:tcPr>
          <w:p>
            <w:r>
              <w:rPr>
                <w:rFonts w:ascii="Arial" w:cs="Arial" w:eastAsia="Arial" w:hAnsi="Arial"/>
                <w:b/>
                <w:bCs/>
                <w:color w:val="FFFFFF"/>
                <w:sz w:val="19"/>
                <w:szCs w:val="19"/>
              </w:rPr>
              <w:t xml:space="preserve">SOC 2</w:t>
            </w:r>
          </w:p>
        </w:tc>
        <w:tc>
          <w:tcPr>
            <w:tcW w:type="dxa" w:w="2340"/>
            <w:tcBorders>
              <w:top w:val="single" w:color="93C5FD" w:sz="1"/>
              <w:left w:val="single" w:color="93C5FD" w:sz="1"/>
              <w:bottom w:val="single" w:color="93C5FD" w:sz="1"/>
              <w:right w:val="single" w:color="93C5FD" w:sz="1"/>
            </w:tcBorders>
            <w:shd w:fill="1B3A5C" w:val="clear"/>
            <w:tcMar>
              <w:top w:type="dxa" w:w="80"/>
              <w:left w:type="dxa" w:w="120"/>
              <w:bottom w:type="dxa" w:w="80"/>
              <w:right w:type="dxa" w:w="120"/>
            </w:tcMar>
          </w:tcPr>
          <w:p>
            <w:r>
              <w:rPr>
                <w:rFonts w:ascii="Arial" w:cs="Arial" w:eastAsia="Arial" w:hAnsi="Arial"/>
                <w:b/>
                <w:bCs/>
                <w:color w:val="FFFFFF"/>
                <w:sz w:val="19"/>
                <w:szCs w:val="19"/>
              </w:rPr>
              <w:t xml:space="preserve">NIST CSF</w:t>
            </w:r>
          </w:p>
        </w:tc>
      </w:tr>
      <w:tr>
        <w:tc>
          <w:tcPr>
            <w:tcW w:type="dxa" w:w="2340"/>
            <w:tcBorders>
              <w:top w:val="single" w:color="DBEAFE" w:sz="1"/>
              <w:left w:val="single" w:color="DBEAFE" w:sz="1"/>
              <w:bottom w:val="single" w:color="DBEAFE" w:sz="1"/>
              <w:right w:val="single" w:color="DBEAFE" w:sz="1"/>
            </w:tcBorders>
            <w:shd w:fill="F3F4F6" w:val="clear"/>
            <w:tcMar>
              <w:top w:type="dxa" w:w="80"/>
              <w:left w:type="dxa" w:w="120"/>
              <w:bottom w:type="dxa" w:w="80"/>
              <w:right w:type="dxa" w:w="120"/>
            </w:tcMar>
          </w:tcPr>
          <w:p>
            <w:r>
              <w:rPr>
                <w:rFonts w:ascii="Georgia" w:cs="Georgia" w:eastAsia="Georgia" w:hAnsi="Georgia"/>
                <w:color w:val="111827"/>
                <w:sz w:val="20"/>
                <w:szCs w:val="20"/>
              </w:rPr>
              <w:t xml:space="preserve">Type</w:t>
            </w:r>
          </w:p>
        </w:tc>
        <w:tc>
          <w:tcPr>
            <w:tcW w:type="dxa" w:w="2340"/>
            <w:tcBorders>
              <w:top w:val="single" w:color="DBEAFE" w:sz="1"/>
              <w:left w:val="single" w:color="DBEAFE" w:sz="1"/>
              <w:bottom w:val="single" w:color="DBEAFE" w:sz="1"/>
              <w:right w:val="single" w:color="DBEAFE" w:sz="1"/>
            </w:tcBorders>
            <w:shd w:fill="FFFFFF" w:val="clear"/>
            <w:tcMar>
              <w:top w:type="dxa" w:w="80"/>
              <w:left w:type="dxa" w:w="120"/>
              <w:bottom w:type="dxa" w:w="80"/>
              <w:right w:type="dxa" w:w="120"/>
            </w:tcMar>
          </w:tcPr>
          <w:p>
            <w:r>
              <w:rPr>
                <w:rFonts w:ascii="Georgia" w:cs="Georgia" w:eastAsia="Georgia" w:hAnsi="Georgia"/>
                <w:color w:val="111827"/>
                <w:sz w:val="20"/>
                <w:szCs w:val="20"/>
              </w:rPr>
              <w:t xml:space="preserve">International Standard</w:t>
            </w:r>
          </w:p>
        </w:tc>
        <w:tc>
          <w:tcPr>
            <w:tcW w:type="dxa" w:w="2340"/>
            <w:tcBorders>
              <w:top w:val="single" w:color="DBEAFE" w:sz="1"/>
              <w:left w:val="single" w:color="DBEAFE" w:sz="1"/>
              <w:bottom w:val="single" w:color="DBEAFE" w:sz="1"/>
              <w:right w:val="single" w:color="DBEAFE" w:sz="1"/>
            </w:tcBorders>
            <w:shd w:fill="FFFFFF" w:val="clear"/>
            <w:tcMar>
              <w:top w:type="dxa" w:w="80"/>
              <w:left w:type="dxa" w:w="120"/>
              <w:bottom w:type="dxa" w:w="80"/>
              <w:right w:type="dxa" w:w="120"/>
            </w:tcMar>
          </w:tcPr>
          <w:p>
            <w:r>
              <w:rPr>
                <w:rFonts w:ascii="Georgia" w:cs="Georgia" w:eastAsia="Georgia" w:hAnsi="Georgia"/>
                <w:color w:val="111827"/>
                <w:sz w:val="20"/>
                <w:szCs w:val="20"/>
              </w:rPr>
              <w:t xml:space="preserve">US Audit Framework</w:t>
            </w:r>
          </w:p>
        </w:tc>
        <w:tc>
          <w:tcPr>
            <w:tcW w:type="dxa" w:w="2340"/>
            <w:tcBorders>
              <w:top w:val="single" w:color="DBEAFE" w:sz="1"/>
              <w:left w:val="single" w:color="DBEAFE" w:sz="1"/>
              <w:bottom w:val="single" w:color="DBEAFE" w:sz="1"/>
              <w:right w:val="single" w:color="DBEAFE" w:sz="1"/>
            </w:tcBorders>
            <w:shd w:fill="FFFFFF" w:val="clear"/>
            <w:tcMar>
              <w:top w:type="dxa" w:w="80"/>
              <w:left w:type="dxa" w:w="120"/>
              <w:bottom w:type="dxa" w:w="80"/>
              <w:right w:type="dxa" w:w="120"/>
            </w:tcMar>
          </w:tcPr>
          <w:p>
            <w:r>
              <w:rPr>
                <w:rFonts w:ascii="Georgia" w:cs="Georgia" w:eastAsia="Georgia" w:hAnsi="Georgia"/>
                <w:color w:val="111827"/>
                <w:sz w:val="20"/>
                <w:szCs w:val="20"/>
              </w:rPr>
              <w:t xml:space="preserve">US Gov Framework</w:t>
            </w:r>
          </w:p>
        </w:tc>
      </w:tr>
      <w:tr>
        <w:tc>
          <w:tcPr>
            <w:tcW w:type="dxa" w:w="2340"/>
            <w:tcBorders>
              <w:top w:val="single" w:color="DBEAFE" w:sz="1"/>
              <w:left w:val="single" w:color="DBEAFE" w:sz="1"/>
              <w:bottom w:val="single" w:color="DBEAFE" w:sz="1"/>
              <w:right w:val="single" w:color="DBEAFE" w:sz="1"/>
            </w:tcBorders>
            <w:shd w:fill="F3F4F6" w:val="clear"/>
            <w:tcMar>
              <w:top w:type="dxa" w:w="80"/>
              <w:left w:type="dxa" w:w="120"/>
              <w:bottom w:type="dxa" w:w="80"/>
              <w:right w:type="dxa" w:w="120"/>
            </w:tcMar>
          </w:tcPr>
          <w:p>
            <w:r>
              <w:rPr>
                <w:rFonts w:ascii="Georgia" w:cs="Georgia" w:eastAsia="Georgia" w:hAnsi="Georgia"/>
                <w:color w:val="111827"/>
                <w:sz w:val="20"/>
                <w:szCs w:val="20"/>
              </w:rPr>
              <w:t xml:space="preserve">Certification</w:t>
            </w:r>
          </w:p>
        </w:tc>
        <w:tc>
          <w:tcPr>
            <w:tcW w:type="dxa" w:w="2340"/>
            <w:tcBorders>
              <w:top w:val="single" w:color="DBEAFE" w:sz="1"/>
              <w:left w:val="single" w:color="DBEAFE" w:sz="1"/>
              <w:bottom w:val="single" w:color="DBEAFE" w:sz="1"/>
              <w:right w:val="single" w:color="DBEAFE" w:sz="1"/>
            </w:tcBorders>
            <w:shd w:fill="FFFFFF" w:val="clear"/>
            <w:tcMar>
              <w:top w:type="dxa" w:w="80"/>
              <w:left w:type="dxa" w:w="120"/>
              <w:bottom w:type="dxa" w:w="80"/>
              <w:right w:type="dxa" w:w="120"/>
            </w:tcMar>
          </w:tcPr>
          <w:p>
            <w:r>
              <w:rPr>
                <w:rFonts w:ascii="Georgia" w:cs="Georgia" w:eastAsia="Georgia" w:hAnsi="Georgia"/>
                <w:color w:val="111827"/>
                <w:sz w:val="20"/>
                <w:szCs w:val="20"/>
              </w:rPr>
              <w:t xml:space="preserve">Yes — formal cert</w:t>
            </w:r>
          </w:p>
        </w:tc>
        <w:tc>
          <w:tcPr>
            <w:tcW w:type="dxa" w:w="2340"/>
            <w:tcBorders>
              <w:top w:val="single" w:color="DBEAFE" w:sz="1"/>
              <w:left w:val="single" w:color="DBEAFE" w:sz="1"/>
              <w:bottom w:val="single" w:color="DBEAFE" w:sz="1"/>
              <w:right w:val="single" w:color="DBEAFE" w:sz="1"/>
            </w:tcBorders>
            <w:shd w:fill="FFFFFF" w:val="clear"/>
            <w:tcMar>
              <w:top w:type="dxa" w:w="80"/>
              <w:left w:type="dxa" w:w="120"/>
              <w:bottom w:type="dxa" w:w="80"/>
              <w:right w:type="dxa" w:w="120"/>
            </w:tcMar>
          </w:tcPr>
          <w:p>
            <w:r>
              <w:rPr>
                <w:rFonts w:ascii="Georgia" w:cs="Georgia" w:eastAsia="Georgia" w:hAnsi="Georgia"/>
                <w:color w:val="111827"/>
                <w:sz w:val="20"/>
                <w:szCs w:val="20"/>
              </w:rPr>
              <w:t xml:space="preserve">Attestation report</w:t>
            </w:r>
          </w:p>
        </w:tc>
        <w:tc>
          <w:tcPr>
            <w:tcW w:type="dxa" w:w="2340"/>
            <w:tcBorders>
              <w:top w:val="single" w:color="DBEAFE" w:sz="1"/>
              <w:left w:val="single" w:color="DBEAFE" w:sz="1"/>
              <w:bottom w:val="single" w:color="DBEAFE" w:sz="1"/>
              <w:right w:val="single" w:color="DBEAFE" w:sz="1"/>
            </w:tcBorders>
            <w:shd w:fill="FFFFFF" w:val="clear"/>
            <w:tcMar>
              <w:top w:type="dxa" w:w="80"/>
              <w:left w:type="dxa" w:w="120"/>
              <w:bottom w:type="dxa" w:w="80"/>
              <w:right w:type="dxa" w:w="120"/>
            </w:tcMar>
          </w:tcPr>
          <w:p>
            <w:r>
              <w:rPr>
                <w:rFonts w:ascii="Georgia" w:cs="Georgia" w:eastAsia="Georgia" w:hAnsi="Georgia"/>
                <w:color w:val="111827"/>
                <w:sz w:val="20"/>
                <w:szCs w:val="20"/>
              </w:rPr>
              <w:t xml:space="preserve">No certification</w:t>
            </w:r>
          </w:p>
        </w:tc>
      </w:tr>
      <w:tr>
        <w:tc>
          <w:tcPr>
            <w:tcW w:type="dxa" w:w="2340"/>
            <w:tcBorders>
              <w:top w:val="single" w:color="DBEAFE" w:sz="1"/>
              <w:left w:val="single" w:color="DBEAFE" w:sz="1"/>
              <w:bottom w:val="single" w:color="DBEAFE" w:sz="1"/>
              <w:right w:val="single" w:color="DBEAFE" w:sz="1"/>
            </w:tcBorders>
            <w:shd w:fill="F3F4F6" w:val="clear"/>
            <w:tcMar>
              <w:top w:type="dxa" w:w="80"/>
              <w:left w:type="dxa" w:w="120"/>
              <w:bottom w:type="dxa" w:w="80"/>
              <w:right w:type="dxa" w:w="120"/>
            </w:tcMar>
          </w:tcPr>
          <w:p>
            <w:r>
              <w:rPr>
                <w:rFonts w:ascii="Georgia" w:cs="Georgia" w:eastAsia="Georgia" w:hAnsi="Georgia"/>
                <w:color w:val="111827"/>
                <w:sz w:val="20"/>
                <w:szCs w:val="20"/>
              </w:rPr>
              <w:t xml:space="preserve">Scope</w:t>
            </w:r>
          </w:p>
        </w:tc>
        <w:tc>
          <w:tcPr>
            <w:tcW w:type="dxa" w:w="2340"/>
            <w:tcBorders>
              <w:top w:val="single" w:color="DBEAFE" w:sz="1"/>
              <w:left w:val="single" w:color="DBEAFE" w:sz="1"/>
              <w:bottom w:val="single" w:color="DBEAFE" w:sz="1"/>
              <w:right w:val="single" w:color="DBEAFE" w:sz="1"/>
            </w:tcBorders>
            <w:shd w:fill="FFFFFF" w:val="clear"/>
            <w:tcMar>
              <w:top w:type="dxa" w:w="80"/>
              <w:left w:type="dxa" w:w="120"/>
              <w:bottom w:type="dxa" w:w="80"/>
              <w:right w:type="dxa" w:w="120"/>
            </w:tcMar>
          </w:tcPr>
          <w:p>
            <w:r>
              <w:rPr>
                <w:rFonts w:ascii="Georgia" w:cs="Georgia" w:eastAsia="Georgia" w:hAnsi="Georgia"/>
                <w:color w:val="111827"/>
                <w:sz w:val="20"/>
                <w:szCs w:val="20"/>
              </w:rPr>
              <w:t xml:space="preserve">Global, any sector</w:t>
            </w:r>
          </w:p>
        </w:tc>
        <w:tc>
          <w:tcPr>
            <w:tcW w:type="dxa" w:w="2340"/>
            <w:tcBorders>
              <w:top w:val="single" w:color="DBEAFE" w:sz="1"/>
              <w:left w:val="single" w:color="DBEAFE" w:sz="1"/>
              <w:bottom w:val="single" w:color="DBEAFE" w:sz="1"/>
              <w:right w:val="single" w:color="DBEAFE" w:sz="1"/>
            </w:tcBorders>
            <w:shd w:fill="FFFFFF" w:val="clear"/>
            <w:tcMar>
              <w:top w:type="dxa" w:w="80"/>
              <w:left w:type="dxa" w:w="120"/>
              <w:bottom w:type="dxa" w:w="80"/>
              <w:right w:type="dxa" w:w="120"/>
            </w:tcMar>
          </w:tcPr>
          <w:p>
            <w:r>
              <w:rPr>
                <w:rFonts w:ascii="Georgia" w:cs="Georgia" w:eastAsia="Georgia" w:hAnsi="Georgia"/>
                <w:color w:val="111827"/>
                <w:sz w:val="20"/>
                <w:szCs w:val="20"/>
              </w:rPr>
              <w:t xml:space="preserve">Service orgs (US-focus)</w:t>
            </w:r>
          </w:p>
        </w:tc>
        <w:tc>
          <w:tcPr>
            <w:tcW w:type="dxa" w:w="2340"/>
            <w:tcBorders>
              <w:top w:val="single" w:color="DBEAFE" w:sz="1"/>
              <w:left w:val="single" w:color="DBEAFE" w:sz="1"/>
              <w:bottom w:val="single" w:color="DBEAFE" w:sz="1"/>
              <w:right w:val="single" w:color="DBEAFE" w:sz="1"/>
            </w:tcBorders>
            <w:shd w:fill="FFFFFF" w:val="clear"/>
            <w:tcMar>
              <w:top w:type="dxa" w:w="80"/>
              <w:left w:type="dxa" w:w="120"/>
              <w:bottom w:type="dxa" w:w="80"/>
              <w:right w:type="dxa" w:w="120"/>
            </w:tcMar>
          </w:tcPr>
          <w:p>
            <w:r>
              <w:rPr>
                <w:rFonts w:ascii="Georgia" w:cs="Georgia" w:eastAsia="Georgia" w:hAnsi="Georgia"/>
                <w:color w:val="111827"/>
                <w:sz w:val="20"/>
                <w:szCs w:val="20"/>
              </w:rPr>
              <w:t xml:space="preserve">Critical infrastructure</w:t>
            </w:r>
          </w:p>
        </w:tc>
      </w:tr>
      <w:tr>
        <w:tc>
          <w:tcPr>
            <w:tcW w:type="dxa" w:w="2340"/>
            <w:tcBorders>
              <w:top w:val="single" w:color="DBEAFE" w:sz="1"/>
              <w:left w:val="single" w:color="DBEAFE" w:sz="1"/>
              <w:bottom w:val="single" w:color="DBEAFE" w:sz="1"/>
              <w:right w:val="single" w:color="DBEAFE" w:sz="1"/>
            </w:tcBorders>
            <w:shd w:fill="F3F4F6" w:val="clear"/>
            <w:tcMar>
              <w:top w:type="dxa" w:w="80"/>
              <w:left w:type="dxa" w:w="120"/>
              <w:bottom w:type="dxa" w:w="80"/>
              <w:right w:type="dxa" w:w="120"/>
            </w:tcMar>
          </w:tcPr>
          <w:p>
            <w:r>
              <w:rPr>
                <w:rFonts w:ascii="Georgia" w:cs="Georgia" w:eastAsia="Georgia" w:hAnsi="Georgia"/>
                <w:color w:val="111827"/>
                <w:sz w:val="20"/>
                <w:szCs w:val="20"/>
              </w:rPr>
              <w:t xml:space="preserve">Indonesian Reg.</w:t>
            </w:r>
          </w:p>
        </w:tc>
        <w:tc>
          <w:tcPr>
            <w:tcW w:type="dxa" w:w="2340"/>
            <w:tcBorders>
              <w:top w:val="single" w:color="DBEAFE" w:sz="1"/>
              <w:left w:val="single" w:color="DBEAFE" w:sz="1"/>
              <w:bottom w:val="single" w:color="DBEAFE" w:sz="1"/>
              <w:right w:val="single" w:color="DBEAFE" w:sz="1"/>
            </w:tcBorders>
            <w:shd w:fill="FFFFFF" w:val="clear"/>
            <w:tcMar>
              <w:top w:type="dxa" w:w="80"/>
              <w:left w:type="dxa" w:w="120"/>
              <w:bottom w:type="dxa" w:w="80"/>
              <w:right w:type="dxa" w:w="120"/>
            </w:tcMar>
          </w:tcPr>
          <w:p>
            <w:r>
              <w:rPr>
                <w:rFonts w:ascii="Georgia" w:cs="Georgia" w:eastAsia="Georgia" w:hAnsi="Georgia"/>
                <w:color w:val="111827"/>
                <w:sz w:val="20"/>
                <w:szCs w:val="20"/>
              </w:rPr>
              <w:t xml:space="preserve">Referenced in POJK, PBI, UU PDP</w:t>
            </w:r>
          </w:p>
        </w:tc>
        <w:tc>
          <w:tcPr>
            <w:tcW w:type="dxa" w:w="2340"/>
            <w:tcBorders>
              <w:top w:val="single" w:color="DBEAFE" w:sz="1"/>
              <w:left w:val="single" w:color="DBEAFE" w:sz="1"/>
              <w:bottom w:val="single" w:color="DBEAFE" w:sz="1"/>
              <w:right w:val="single" w:color="DBEAFE" w:sz="1"/>
            </w:tcBorders>
            <w:shd w:fill="FFFFFF" w:val="clear"/>
            <w:tcMar>
              <w:top w:type="dxa" w:w="80"/>
              <w:left w:type="dxa" w:w="120"/>
              <w:bottom w:type="dxa" w:w="80"/>
              <w:right w:type="dxa" w:w="120"/>
            </w:tcMar>
          </w:tcPr>
          <w:p>
            <w:r>
              <w:rPr>
                <w:rFonts w:ascii="Georgia" w:cs="Georgia" w:eastAsia="Georgia" w:hAnsi="Georgia"/>
                <w:color w:val="111827"/>
                <w:sz w:val="20"/>
                <w:szCs w:val="20"/>
              </w:rPr>
              <w:t xml:space="preserve">Not referenced</w:t>
            </w:r>
          </w:p>
        </w:tc>
        <w:tc>
          <w:tcPr>
            <w:tcW w:type="dxa" w:w="2340"/>
            <w:tcBorders>
              <w:top w:val="single" w:color="DBEAFE" w:sz="1"/>
              <w:left w:val="single" w:color="DBEAFE" w:sz="1"/>
              <w:bottom w:val="single" w:color="DBEAFE" w:sz="1"/>
              <w:right w:val="single" w:color="DBEAFE" w:sz="1"/>
            </w:tcBorders>
            <w:shd w:fill="FFFFFF" w:val="clear"/>
            <w:tcMar>
              <w:top w:type="dxa" w:w="80"/>
              <w:left w:type="dxa" w:w="120"/>
              <w:bottom w:type="dxa" w:w="80"/>
              <w:right w:type="dxa" w:w="120"/>
            </w:tcMar>
          </w:tcPr>
          <w:p>
            <w:r>
              <w:rPr>
                <w:rFonts w:ascii="Georgia" w:cs="Georgia" w:eastAsia="Georgia" w:hAnsi="Georgia"/>
                <w:color w:val="111827"/>
                <w:sz w:val="20"/>
                <w:szCs w:val="20"/>
              </w:rPr>
              <w:t xml:space="preserve">Not referenced</w:t>
            </w:r>
          </w:p>
        </w:tc>
      </w:tr>
      <w:tr>
        <w:tc>
          <w:tcPr>
            <w:tcW w:type="dxa" w:w="2340"/>
            <w:tcBorders>
              <w:top w:val="single" w:color="DBEAFE" w:sz="1"/>
              <w:left w:val="single" w:color="DBEAFE" w:sz="1"/>
              <w:bottom w:val="single" w:color="DBEAFE" w:sz="1"/>
              <w:right w:val="single" w:color="DBEAFE" w:sz="1"/>
            </w:tcBorders>
            <w:shd w:fill="F3F4F6" w:val="clear"/>
            <w:tcMar>
              <w:top w:type="dxa" w:w="80"/>
              <w:left w:type="dxa" w:w="120"/>
              <w:bottom w:type="dxa" w:w="80"/>
              <w:right w:type="dxa" w:w="120"/>
            </w:tcMar>
          </w:tcPr>
          <w:p>
            <w:r>
              <w:rPr>
                <w:rFonts w:ascii="Georgia" w:cs="Georgia" w:eastAsia="Georgia" w:hAnsi="Georgia"/>
                <w:color w:val="111827"/>
                <w:sz w:val="20"/>
                <w:szCs w:val="20"/>
              </w:rPr>
              <w:t xml:space="preserve">Best for</w:t>
            </w:r>
          </w:p>
        </w:tc>
        <w:tc>
          <w:tcPr>
            <w:tcW w:type="dxa" w:w="2340"/>
            <w:tcBorders>
              <w:top w:val="single" w:color="DBEAFE" w:sz="1"/>
              <w:left w:val="single" w:color="DBEAFE" w:sz="1"/>
              <w:bottom w:val="single" w:color="DBEAFE" w:sz="1"/>
              <w:right w:val="single" w:color="DBEAFE" w:sz="1"/>
            </w:tcBorders>
            <w:shd w:fill="FFFFFF" w:val="clear"/>
            <w:tcMar>
              <w:top w:type="dxa" w:w="80"/>
              <w:left w:type="dxa" w:w="120"/>
              <w:bottom w:type="dxa" w:w="80"/>
              <w:right w:type="dxa" w:w="120"/>
            </w:tcMar>
          </w:tcPr>
          <w:p>
            <w:r>
              <w:rPr>
                <w:rFonts w:ascii="Georgia" w:cs="Georgia" w:eastAsia="Georgia" w:hAnsi="Georgia"/>
                <w:color w:val="111827"/>
                <w:sz w:val="20"/>
                <w:szCs w:val="20"/>
              </w:rPr>
              <w:t xml:space="preserve">Regulated industries, global clients</w:t>
            </w:r>
          </w:p>
        </w:tc>
        <w:tc>
          <w:tcPr>
            <w:tcW w:type="dxa" w:w="2340"/>
            <w:tcBorders>
              <w:top w:val="single" w:color="DBEAFE" w:sz="1"/>
              <w:left w:val="single" w:color="DBEAFE" w:sz="1"/>
              <w:bottom w:val="single" w:color="DBEAFE" w:sz="1"/>
              <w:right w:val="single" w:color="DBEAFE" w:sz="1"/>
            </w:tcBorders>
            <w:shd w:fill="FFFFFF" w:val="clear"/>
            <w:tcMar>
              <w:top w:type="dxa" w:w="80"/>
              <w:left w:type="dxa" w:w="120"/>
              <w:bottom w:type="dxa" w:w="80"/>
              <w:right w:type="dxa" w:w="120"/>
            </w:tcMar>
          </w:tcPr>
          <w:p>
            <w:r>
              <w:rPr>
                <w:rFonts w:ascii="Georgia" w:cs="Georgia" w:eastAsia="Georgia" w:hAnsi="Georgia"/>
                <w:color w:val="111827"/>
                <w:sz w:val="20"/>
                <w:szCs w:val="20"/>
              </w:rPr>
              <w:t xml:space="preserve">SaaS with US enterprise clients</w:t>
            </w:r>
          </w:p>
        </w:tc>
        <w:tc>
          <w:tcPr>
            <w:tcW w:type="dxa" w:w="2340"/>
            <w:tcBorders>
              <w:top w:val="single" w:color="DBEAFE" w:sz="1"/>
              <w:left w:val="single" w:color="DBEAFE" w:sz="1"/>
              <w:bottom w:val="single" w:color="DBEAFE" w:sz="1"/>
              <w:right w:val="single" w:color="DBEAFE" w:sz="1"/>
            </w:tcBorders>
            <w:shd w:fill="FFFFFF" w:val="clear"/>
            <w:tcMar>
              <w:top w:type="dxa" w:w="80"/>
              <w:left w:type="dxa" w:w="120"/>
              <w:bottom w:type="dxa" w:w="80"/>
              <w:right w:type="dxa" w:w="120"/>
            </w:tcMar>
          </w:tcPr>
          <w:p>
            <w:r>
              <w:rPr>
                <w:rFonts w:ascii="Georgia" w:cs="Georgia" w:eastAsia="Georgia" w:hAnsi="Georgia"/>
                <w:color w:val="111827"/>
                <w:sz w:val="20"/>
                <w:szCs w:val="20"/>
              </w:rPr>
              <w:t xml:space="preserve">Internal risk programs</w:t>
            </w:r>
          </w:p>
        </w:tc>
      </w:tr>
    </w:tbl>
    <w:p>
      <w:pPr>
        <w:spacing w:after="160"/>
      </w:pPr>
      <w:r>
        <w:t xml:space="preserve"/>
      </w:r>
    </w:p>
    <w:p>
      <w:pPr>
        <w:spacing w:after="160" w:line="320"/>
        <w:jc w:val="both"/>
      </w:pPr>
      <w:r>
        <w:rPr>
          <w:rFonts w:ascii="Georgia" w:cs="Georgia" w:eastAsia="Georgia" w:hAnsi="Georgia"/>
          <w:b w:val="false"/>
          <w:bCs w:val="false"/>
          <w:i w:val="false"/>
          <w:iCs w:val="false"/>
          <w:color w:val="111827"/>
          <w:sz w:val="22"/>
          <w:szCs w:val="22"/>
        </w:rPr>
        <w:t xml:space="preserve">For organizations operating in Indonesia's regulated sectors, ISO 27001 is particularly significant because it is explicitly referenced — and in some cases required — by major regulatory frameworks including OJK regulations for financial services (POJK), Bank Indonesia payment system regulations (PBI), and the national Personal Data Protection Law (UU PDP No. 27/2022). No other international security framework enjoys this level of direct regulatory acknowledgment in the Indonesian context.</w:t>
      </w:r>
    </w:p>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What Does It Actually Mean to Be Certified?</w:t>
      </w:r>
    </w:p>
    <w:p>
      <w:pPr>
        <w:spacing w:after="80"/>
      </w:pPr>
      <w:r>
        <w:t xml:space="preserve"/>
      </w:r>
    </w:p>
    <w:p>
      <w:pPr>
        <w:spacing w:after="160" w:line="320"/>
        <w:jc w:val="both"/>
      </w:pPr>
      <w:r>
        <w:rPr>
          <w:rFonts w:ascii="Georgia" w:cs="Georgia" w:eastAsia="Georgia" w:hAnsi="Georgia"/>
          <w:b w:val="false"/>
          <w:bCs w:val="false"/>
          <w:i w:val="false"/>
          <w:iCs w:val="false"/>
          <w:color w:val="111827"/>
          <w:sz w:val="22"/>
          <w:szCs w:val="22"/>
        </w:rPr>
        <w:t xml:space="preserve">ISO 27001 certification is not self-declared. It requires an independent audit performed by an accredited certification body — organizations that have been approved to issue ISO certificates by national accreditation bodies such as KAN (Komite Akreditasi Nasional) in Indonesia or UKAS in the UK.</w:t>
      </w:r>
    </w:p>
    <w:p>
      <w:pPr>
        <w:spacing w:after="80"/>
      </w:pPr>
      <w:r>
        <w:t xml:space="preserve"/>
      </w:r>
    </w:p>
    <w:p>
      <w:pPr>
        <w:spacing w:after="160" w:line="320"/>
        <w:jc w:val="both"/>
      </w:pPr>
      <w:r>
        <w:rPr>
          <w:rFonts w:ascii="Georgia" w:cs="Georgia" w:eastAsia="Georgia" w:hAnsi="Georgia"/>
          <w:b w:val="false"/>
          <w:bCs w:val="false"/>
          <w:i w:val="false"/>
          <w:iCs w:val="false"/>
          <w:color w:val="111827"/>
          <w:sz w:val="22"/>
          <w:szCs w:val="22"/>
        </w:rPr>
        <w:t xml:space="preserve">The certification audit process typically involves two stages. In Stage 1, auditors review your ISMS documentation to assess whether your framework is designed correctly and is ready for on-site assessment. In Stage 2, auditors visit your organization (or conduct a remote assessment) to verify that your ISMS is actually operating as documented — that controls are implemented, staff are aware of their responsibilities, and records exist to prove it.</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8"/>
                <w:szCs w:val="18"/>
              </w:rPr>
              <w:t xml:space="preserve">IMPORTANT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Certification is issued for a defined scope and is valid for three years, subject to annual surveillance audits. It is not a one-time achievement — it requires continuous operation and improvement of your ISMS to maintain.</w:t>
            </w:r>
          </w:p>
        </w:tc>
      </w:tr>
    </w:tbl>
    <w:p>
      <w:pPr>
        <w:spacing w:after="160"/>
      </w:pPr>
      <w:r>
        <w:t xml:space="preserve"/>
      </w:r>
    </w:p>
    <w:p>
      <w:pPr>
        <w:spacing w:after="160" w:line="320"/>
        <w:jc w:val="both"/>
      </w:pPr>
      <w:r>
        <w:rPr>
          <w:rFonts w:ascii="Georgia" w:cs="Georgia" w:eastAsia="Georgia" w:hAnsi="Georgia"/>
          <w:b w:val="false"/>
          <w:bCs w:val="false"/>
          <w:i w:val="false"/>
          <w:iCs w:val="false"/>
          <w:color w:val="111827"/>
          <w:sz w:val="22"/>
          <w:szCs w:val="22"/>
        </w:rPr>
        <w:t xml:space="preserve">When a certification is issued, it communicates something specific to the market: that an independent third party has verified your organization's information security management system against an internationally recognized standard. For enterprise clients, regulators, and government procurement bodies, this verification carries significant weight.</w:t>
      </w:r>
    </w:p>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Who Actually Needs ISO 27001 in 2026?</w:t>
      </w:r>
    </w:p>
    <w:p>
      <w:pPr>
        <w:spacing w:after="80"/>
      </w:pPr>
      <w:r>
        <w:t xml:space="preserve"/>
      </w:r>
    </w:p>
    <w:p>
      <w:pPr>
        <w:spacing w:after="160" w:line="320"/>
        <w:jc w:val="both"/>
      </w:pPr>
      <w:r>
        <w:rPr>
          <w:rFonts w:ascii="Georgia" w:cs="Georgia" w:eastAsia="Georgia" w:hAnsi="Georgia"/>
          <w:b w:val="false"/>
          <w:bCs w:val="false"/>
          <w:i w:val="false"/>
          <w:iCs w:val="false"/>
          <w:color w:val="111827"/>
          <w:sz w:val="22"/>
          <w:szCs w:val="22"/>
        </w:rPr>
        <w:t xml:space="preserve">The direct answer: any organization for whom information security risk has business consequences — which in 2026 is virtually every organization with a digital footprint. But certain categories have more urgent reasons than others.</w:t>
      </w:r>
    </w:p>
    <w:p>
      <w:pPr>
        <w:spacing w:after="80"/>
      </w:pPr>
      <w:r>
        <w:t xml:space="preserve"/>
      </w:r>
    </w:p>
    <w:p>
      <w:pPr>
        <w:spacing w:after="160" w:line="320"/>
        <w:jc w:val="both"/>
      </w:pPr>
      <w:r>
        <w:rPr>
          <w:rFonts w:ascii="Georgia" w:cs="Georgia" w:eastAsia="Georgia" w:hAnsi="Georgia"/>
          <w:b w:val="false"/>
          <w:bCs w:val="false"/>
          <w:i w:val="false"/>
          <w:iCs w:val="false"/>
          <w:color w:val="111827"/>
          <w:sz w:val="22"/>
          <w:szCs w:val="22"/>
        </w:rPr>
        <w:t xml:space="preserve">Financial services and fintech companies in Indonesia are increasingly finding ISO 27001 to be a practical prerequisite. OJK's regulations on IT governance for banks and multifinance companies, combined with Bank Indonesia's requirements for payment system operators, create a regulatory landscape where a structured ISMS is not optional — and ISO 27001 provides the most recognized framework for building one.</w:t>
      </w:r>
    </w:p>
    <w:p>
      <w:pPr>
        <w:spacing w:after="80"/>
      </w:pPr>
      <w:r>
        <w:t xml:space="preserve"/>
      </w:r>
    </w:p>
    <w:p>
      <w:pPr>
        <w:spacing w:after="160" w:line="320"/>
        <w:jc w:val="both"/>
      </w:pPr>
      <w:r>
        <w:rPr>
          <w:rFonts w:ascii="Georgia" w:cs="Georgia" w:eastAsia="Georgia" w:hAnsi="Georgia"/>
          <w:b w:val="false"/>
          <w:bCs w:val="false"/>
          <w:i w:val="false"/>
          <w:iCs w:val="false"/>
          <w:color w:val="111827"/>
          <w:sz w:val="22"/>
          <w:szCs w:val="22"/>
        </w:rPr>
        <w:t xml:space="preserve">Healthcare organizations handling patient data face mounting pressure from UU PDP, which requires controllers and processors of sensitive personal data to implement appropriate security measures. ISO 27001 provides a defensible, auditable standard for demonstrating that those measures are real, documented, and maintained.</w:t>
      </w:r>
    </w:p>
    <w:p>
      <w:pPr>
        <w:spacing w:after="80"/>
      </w:pPr>
      <w:r>
        <w:t xml:space="preserve"/>
      </w:r>
    </w:p>
    <w:p>
      <w:pPr>
        <w:spacing w:after="160" w:line="320"/>
        <w:jc w:val="both"/>
      </w:pPr>
      <w:r>
        <w:rPr>
          <w:rFonts w:ascii="Georgia" w:cs="Georgia" w:eastAsia="Georgia" w:hAnsi="Georgia"/>
          <w:b w:val="false"/>
          <w:bCs w:val="false"/>
          <w:i w:val="false"/>
          <w:iCs w:val="false"/>
          <w:color w:val="111827"/>
          <w:sz w:val="22"/>
          <w:szCs w:val="22"/>
        </w:rPr>
        <w:t xml:space="preserve">Technology companies and SaaS providers selling into enterprise or government segments increasingly receive ISO 27001 requests as part of vendor due diligence. In a market where data breaches make national news and regulatory scrutiny is intensifying, certification has shifted from a differentiator to a baseline expectation.</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A7F3D0" w:sz="1"/>
              <w:left w:val="single" w:color="0E9F6E" w:sz="12"/>
              <w:bottom w:val="single" w:color="A7F3D0" w:sz="1"/>
              <w:right w:val="single" w:color="A7F3D0" w:sz="1"/>
            </w:tcBorders>
            <w:shd w:fill="ECFDF5" w:val="clear"/>
            <w:tcMar>
              <w:top w:type="dxa" w:w="140"/>
              <w:left w:type="dxa" w:w="200"/>
              <w:bottom w:type="dxa" w:w="140"/>
              <w:right w:type="dxa" w:w="160"/>
            </w:tcMar>
          </w:tcPr>
          <w:p>
            <w:r>
              <w:rPr>
                <w:rFonts w:ascii="Georgia" w:cs="Georgia" w:eastAsia="Georgia" w:hAnsi="Georgia"/>
                <w:i/>
                <w:iCs/>
                <w:color w:val="065F46"/>
                <w:sz w:val="21"/>
                <w:szCs w:val="21"/>
              </w:rPr>
              <w:t xml:space="preserve">2026 Context: Following Indonesia's enforcement of UU PDP beginning in late 2024, demand for ISO 27001 implementation services has grown significantly among Indonesian SMEs and mid-market companies who previously treated compliance as a large-enterprise concern. The regulatory window is closing.</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The Bottom Line</w:t>
      </w:r>
    </w:p>
    <w:p>
      <w:pPr>
        <w:spacing w:after="80"/>
      </w:pPr>
      <w:r>
        <w:t xml:space="preserve"/>
      </w:r>
    </w:p>
    <w:p>
      <w:pPr>
        <w:spacing w:after="160" w:line="320"/>
        <w:jc w:val="both"/>
      </w:pPr>
      <w:r>
        <w:rPr>
          <w:rFonts w:ascii="Georgia" w:cs="Georgia" w:eastAsia="Georgia" w:hAnsi="Georgia"/>
          <w:b w:val="false"/>
          <w:bCs w:val="false"/>
          <w:i w:val="false"/>
          <w:iCs w:val="false"/>
          <w:color w:val="111827"/>
          <w:sz w:val="22"/>
          <w:szCs w:val="22"/>
        </w:rPr>
        <w:t xml:space="preserve">ISO 27001 is not a one-size-fits-all technical prescription. It is a structured, risk-driven approach to governing information security that scales with your organization, maps to your regulatory obligations, and produces evidence of your security posture that auditors, clients, and regulators can independently verify.</w:t>
      </w:r>
    </w:p>
    <w:p>
      <w:pPr>
        <w:spacing w:after="80"/>
      </w:pPr>
      <w:r>
        <w:t xml:space="preserve"/>
      </w:r>
    </w:p>
    <w:p>
      <w:pPr>
        <w:spacing w:after="160" w:line="320"/>
        <w:jc w:val="both"/>
      </w:pPr>
      <w:r>
        <w:rPr>
          <w:rFonts w:ascii="Georgia" w:cs="Georgia" w:eastAsia="Georgia" w:hAnsi="Georgia"/>
          <w:b w:val="false"/>
          <w:bCs w:val="false"/>
          <w:i w:val="false"/>
          <w:iCs w:val="false"/>
          <w:color w:val="111827"/>
          <w:sz w:val="22"/>
          <w:szCs w:val="22"/>
        </w:rPr>
        <w:t xml:space="preserve">Understanding what it is — a management system framework, not a checklist — is the essential first step. The subsequent articles in this documentation series will walk through each component in depth: the specific requirements you must meet, the implementation process, the controls you will need to consider, and how Bitlion's platform can accelerate your journey from gap assessment to certified ISMS.</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8"/>
                <w:szCs w:val="18"/>
              </w:rPr>
              <w:t xml:space="preserve">NEXT ARTICLE</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1.2 — History and Evolution of ISO 27001: A timeline tracing the standard from BS 7799 to the 2022 revision, and how it has adapted to modern threats.</w:t>
            </w:r>
          </w:p>
        </w:tc>
      </w:tr>
    </w:tbl>
    <w:p>
      <w:pPr>
        <w:spacing w:after="200"/>
      </w:pPr>
      <w:r>
        <w:t xml:space="preserve"/>
      </w:r>
    </w:p>
    <w:p>
      <w:pPr>
        <w:pBdr>
          <w:bottom w:val="single" w:color="D1D5DB" w:sz="2" w:space="1"/>
        </w:pBdr>
        <w:spacing w:after="200" w:before="200"/>
      </w:pPr>
      <w:r>
        <w:t xml:space="preserve"/>
      </w:r>
    </w:p>
    <w:p>
      <w:pPr>
        <w:spacing w:after="80"/>
      </w:pPr>
      <w:r>
        <w:t xml:space="preserve"/>
      </w:r>
    </w:p>
    <w:p>
      <w:pPr>
        <w:spacing w:after="40"/>
        <w:jc w:val="center"/>
      </w:pPr>
      <w:r>
        <w:rPr>
          <w:rFonts w:ascii="Arial" w:cs="Arial" w:eastAsia="Arial" w:hAnsi="Arial"/>
          <w:color w:val="9CA3AF"/>
          <w:sz w:val="17"/>
          <w:szCs w:val="17"/>
        </w:rPr>
        <w:t xml:space="preserve">ISO 27001 Information Security Management System Documentation  ·  Bitlion GRC Platform  ·  © 2026</w:t>
      </w:r>
    </w:p>
    <w:p>
      <w:pPr>
        <w:jc w:val="center"/>
      </w:pPr>
      <w:r>
        <w:rPr>
          <w:rFonts w:ascii="Arial" w:cs="Arial" w:eastAsia="Arial" w:hAnsi="Arial"/>
          <w:i/>
          <w:iCs/>
          <w:color w:val="9CA3AF"/>
          <w:sz w:val="17"/>
          <w:szCs w:val="17"/>
        </w:rPr>
        <w:t xml:space="preserve">This document is part of Bitlion's open compliance knowledge base.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color w:val="111827"/>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0"/>
      <w:outlineLvl w:val="0"/>
    </w:pPr>
    <w:rPr>
      <w:rFonts w:ascii="Arial" w:cs="Arial" w:eastAsia="Arial" w:hAnsi="Arial"/>
      <w:b/>
      <w:bCs/>
      <w:color w:val="1B3A5C"/>
      <w:sz w:val="40"/>
      <w:szCs w:val="40"/>
    </w:rPr>
  </w:style>
  <w:style w:type="paragraph" w:styleId="Heading2">
    <w:name w:val="Heading 2"/>
    <w:basedOn w:val="Normal"/>
    <w:next w:val="Normal"/>
    <w:qFormat/>
    <w:pPr>
      <w:spacing w:after="160" w:before="400"/>
      <w:outlineLvl w:val="1"/>
    </w:pPr>
    <w:rPr>
      <w:rFonts w:ascii="Arial" w:cs="Arial" w:eastAsia="Arial" w:hAnsi="Arial"/>
      <w:b/>
      <w:bCs/>
      <w:color w:val="1B3A5C"/>
      <w:sz w:val="28"/>
      <w:szCs w:val="28"/>
    </w:rPr>
  </w:style>
  <w:style w:type="paragraph" w:styleId="Heading3">
    <w:name w:val="Heading 3"/>
    <w:basedOn w:val="Normal"/>
    <w:next w:val="Normal"/>
    <w:qFormat/>
    <w:pPr>
      <w:spacing w:after="120" w:before="280"/>
      <w:outlineLvl w:val="2"/>
    </w:pPr>
    <w:rPr>
      <w:rFonts w:ascii="Arial" w:cs="Arial" w:eastAsia="Arial" w:hAnsi="Arial"/>
      <w:b/>
      <w:bCs/>
      <w:color w:val="2563A8"/>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2026-03-10T07:26:08.328Z</dcterms:created>
  <dcterms:modified xsi:type="dcterms:W3CDTF">2026-03-10T07:26:08.329Z</dcterms:modified>
</cp:coreProperties>
</file>

<file path=docProps/custom.xml><?xml version="1.0" encoding="utf-8"?>
<Properties xmlns="http://schemas.openxmlformats.org/officeDocument/2006/custom-properties" xmlns:vt="http://schemas.openxmlformats.org/officeDocument/2006/docPropsVTypes"/>
</file>